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5AC6D" w14:textId="77777777" w:rsidR="00865E78" w:rsidRPr="005153DF" w:rsidRDefault="00865E78" w:rsidP="00865E7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53DF">
        <w:rPr>
          <w:rFonts w:ascii="Times New Roman" w:eastAsia="Calibri" w:hAnsi="Times New Roman" w:cs="Times New Roman"/>
          <w:b/>
          <w:sz w:val="28"/>
          <w:szCs w:val="28"/>
        </w:rPr>
        <w:t>Лизинговый продукт для субъектов малого и среднего предпринимательства</w:t>
      </w:r>
    </w:p>
    <w:p w14:paraId="58BD50BE" w14:textId="2D24F1E9" w:rsidR="00616288" w:rsidRPr="005153DF" w:rsidRDefault="00616288" w:rsidP="006162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53DF">
        <w:rPr>
          <w:rFonts w:ascii="Times New Roman" w:eastAsia="Calibri" w:hAnsi="Times New Roman" w:cs="Times New Roman"/>
          <w:sz w:val="28"/>
          <w:szCs w:val="28"/>
        </w:rPr>
        <w:t>«</w:t>
      </w:r>
      <w:r w:rsidRPr="005153DF">
        <w:rPr>
          <w:rFonts w:ascii="Times New Roman" w:eastAsia="Calibri" w:hAnsi="Times New Roman" w:cs="Times New Roman"/>
          <w:b/>
          <w:sz w:val="28"/>
          <w:szCs w:val="28"/>
        </w:rPr>
        <w:t>Поддержка регионов</w:t>
      </w:r>
      <w:r w:rsidRPr="005153DF">
        <w:rPr>
          <w:rFonts w:ascii="Times New Roman" w:eastAsia="Calibri" w:hAnsi="Times New Roman" w:cs="Times New Roman"/>
          <w:sz w:val="28"/>
          <w:szCs w:val="28"/>
        </w:rPr>
        <w:t>»</w:t>
      </w:r>
      <w:r w:rsidRPr="005153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Style w:val="15"/>
        <w:tblW w:w="12458" w:type="dxa"/>
        <w:jc w:val="center"/>
        <w:tblLook w:val="04A0" w:firstRow="1" w:lastRow="0" w:firstColumn="1" w:lastColumn="0" w:noHBand="0" w:noVBand="1"/>
      </w:tblPr>
      <w:tblGrid>
        <w:gridCol w:w="2440"/>
        <w:gridCol w:w="2504"/>
        <w:gridCol w:w="2505"/>
        <w:gridCol w:w="2504"/>
        <w:gridCol w:w="2430"/>
        <w:gridCol w:w="75"/>
      </w:tblGrid>
      <w:tr w:rsidR="00EE45F5" w:rsidRPr="008D5F0F" w14:paraId="3F86A63B" w14:textId="77777777" w:rsidTr="009568B9">
        <w:trPr>
          <w:trHeight w:val="636"/>
          <w:jc w:val="center"/>
        </w:trPr>
        <w:tc>
          <w:tcPr>
            <w:tcW w:w="2440" w:type="dxa"/>
            <w:vMerge w:val="restart"/>
            <w:vAlign w:val="center"/>
          </w:tcPr>
          <w:p w14:paraId="71CF7631" w14:textId="77777777" w:rsidR="00EE45F5" w:rsidRPr="005153DF" w:rsidRDefault="00EE45F5" w:rsidP="00B7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3DF">
              <w:rPr>
                <w:rFonts w:ascii="Times New Roman" w:eastAsia="Calibri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0018" w:type="dxa"/>
            <w:gridSpan w:val="5"/>
            <w:vAlign w:val="center"/>
          </w:tcPr>
          <w:p w14:paraId="04800D30" w14:textId="6742A71B" w:rsidR="00EE45F5" w:rsidRPr="008D5F0F" w:rsidRDefault="00EE45F5" w:rsidP="00B7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53DF">
              <w:rPr>
                <w:rFonts w:ascii="Times New Roman" w:eastAsia="Calibri" w:hAnsi="Times New Roman" w:cs="Times New Roman"/>
                <w:sz w:val="24"/>
                <w:szCs w:val="24"/>
              </w:rPr>
              <w:t>Субъекты МСП-Лизингополучатели</w:t>
            </w:r>
          </w:p>
        </w:tc>
      </w:tr>
      <w:tr w:rsidR="00EE45F5" w:rsidRPr="008D5F0F" w14:paraId="2E65615F" w14:textId="77777777" w:rsidTr="00C45772">
        <w:trPr>
          <w:trHeight w:val="636"/>
          <w:jc w:val="center"/>
        </w:trPr>
        <w:tc>
          <w:tcPr>
            <w:tcW w:w="2440" w:type="dxa"/>
            <w:vMerge/>
            <w:vAlign w:val="center"/>
          </w:tcPr>
          <w:p w14:paraId="16B0FC10" w14:textId="77777777" w:rsidR="00EE45F5" w:rsidRPr="008D5F0F" w:rsidRDefault="00EE45F5" w:rsidP="00B7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0D20A502" w14:textId="09F095B4" w:rsidR="00EE45F5" w:rsidRPr="008D5F0F" w:rsidRDefault="00EE45F5" w:rsidP="00B7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2505" w:type="dxa"/>
            <w:vAlign w:val="center"/>
          </w:tcPr>
          <w:p w14:paraId="3866E66A" w14:textId="08A7B85E" w:rsidR="00EE45F5" w:rsidRPr="008D5F0F" w:rsidRDefault="00EE45F5" w:rsidP="00B7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микроорганизации</w:t>
            </w:r>
            <w:proofErr w:type="spellEnd"/>
          </w:p>
        </w:tc>
        <w:tc>
          <w:tcPr>
            <w:tcW w:w="2504" w:type="dxa"/>
            <w:vAlign w:val="center"/>
          </w:tcPr>
          <w:p w14:paraId="5EA23C2F" w14:textId="06680A42" w:rsidR="00EE45F5" w:rsidRPr="008D5F0F" w:rsidRDefault="00EE45F5" w:rsidP="00B7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малые организации</w:t>
            </w:r>
          </w:p>
        </w:tc>
        <w:tc>
          <w:tcPr>
            <w:tcW w:w="2505" w:type="dxa"/>
            <w:gridSpan w:val="2"/>
            <w:vAlign w:val="center"/>
          </w:tcPr>
          <w:p w14:paraId="1EC2B34D" w14:textId="4B5FEB2E" w:rsidR="00EE45F5" w:rsidRPr="008D5F0F" w:rsidRDefault="00EE45F5" w:rsidP="00B7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субъекты среднего предпринимательства</w:t>
            </w:r>
          </w:p>
        </w:tc>
      </w:tr>
      <w:tr w:rsidR="00EE45F5" w:rsidRPr="008D5F0F" w14:paraId="162E21A8" w14:textId="77777777" w:rsidTr="00636EF0">
        <w:trPr>
          <w:trHeight w:val="636"/>
          <w:jc w:val="center"/>
        </w:trPr>
        <w:tc>
          <w:tcPr>
            <w:tcW w:w="2440" w:type="dxa"/>
            <w:vMerge/>
            <w:vAlign w:val="center"/>
          </w:tcPr>
          <w:p w14:paraId="237B581E" w14:textId="77777777" w:rsidR="00EE45F5" w:rsidRPr="008D5F0F" w:rsidRDefault="00EE45F5" w:rsidP="00935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34A25434" w14:textId="77777777" w:rsidR="00EE45F5" w:rsidRPr="008D5F0F" w:rsidRDefault="00EE45F5" w:rsidP="00935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52850E94" w14:textId="674F2C57" w:rsidR="00EE45F5" w:rsidRPr="008D5F0F" w:rsidRDefault="00EE45F5" w:rsidP="00935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до 15 человек включительно</w:t>
            </w:r>
          </w:p>
        </w:tc>
        <w:tc>
          <w:tcPr>
            <w:tcW w:w="2504" w:type="dxa"/>
            <w:vAlign w:val="center"/>
          </w:tcPr>
          <w:p w14:paraId="558D2CBD" w14:textId="636505A8" w:rsidR="00EE45F5" w:rsidRPr="008D5F0F" w:rsidRDefault="00EE45F5" w:rsidP="00935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от 16 до 100 человек включительно</w:t>
            </w:r>
          </w:p>
        </w:tc>
        <w:tc>
          <w:tcPr>
            <w:tcW w:w="2505" w:type="dxa"/>
            <w:gridSpan w:val="2"/>
            <w:vAlign w:val="center"/>
          </w:tcPr>
          <w:p w14:paraId="4DF04905" w14:textId="3596E821" w:rsidR="00EE45F5" w:rsidRPr="008D5F0F" w:rsidRDefault="00EE45F5" w:rsidP="00935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от 101 до 250 человек включительно</w:t>
            </w:r>
          </w:p>
        </w:tc>
      </w:tr>
      <w:tr w:rsidR="00EE45F5" w:rsidRPr="008D5F0F" w14:paraId="7A63A995" w14:textId="77777777" w:rsidTr="00885DCC">
        <w:trPr>
          <w:trHeight w:val="636"/>
          <w:jc w:val="center"/>
        </w:trPr>
        <w:tc>
          <w:tcPr>
            <w:tcW w:w="2440" w:type="dxa"/>
            <w:vMerge/>
            <w:vAlign w:val="center"/>
          </w:tcPr>
          <w:p w14:paraId="536318AB" w14:textId="77777777" w:rsidR="00EE45F5" w:rsidRPr="008D5F0F" w:rsidRDefault="00EE45F5" w:rsidP="0093585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18" w:type="dxa"/>
            <w:gridSpan w:val="5"/>
            <w:vAlign w:val="center"/>
          </w:tcPr>
          <w:p w14:paraId="3BE279B3" w14:textId="70F73CB7" w:rsidR="00EE45F5" w:rsidRPr="00EA06D8" w:rsidRDefault="00EE45F5" w:rsidP="00EE45F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45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выручки от реализации продукции, товаров, работ, услуг (без учета НДС) за предыдущий календарный год для индивидуальных предпринимателей, </w:t>
            </w:r>
            <w:proofErr w:type="spellStart"/>
            <w:r w:rsidRPr="00EE45F5">
              <w:rPr>
                <w:rFonts w:ascii="Times New Roman" w:eastAsia="Calibri" w:hAnsi="Times New Roman" w:cs="Times New Roman"/>
                <w:sz w:val="24"/>
                <w:szCs w:val="24"/>
              </w:rPr>
              <w:t>микроорганизаций</w:t>
            </w:r>
            <w:proofErr w:type="spellEnd"/>
            <w:r w:rsidRPr="00EE45F5">
              <w:rPr>
                <w:rFonts w:ascii="Times New Roman" w:eastAsia="Calibri" w:hAnsi="Times New Roman" w:cs="Times New Roman"/>
                <w:sz w:val="24"/>
                <w:szCs w:val="24"/>
              </w:rPr>
              <w:t>, малых организаций, субъектов среднего предпринимательства не должен превышать 35 000 000,00 (Тридцать пять миллионов белорусских рублей 00 копеек).</w:t>
            </w:r>
          </w:p>
        </w:tc>
      </w:tr>
      <w:tr w:rsidR="00C24FF7" w:rsidRPr="008D5F0F" w14:paraId="3461A78F" w14:textId="77777777" w:rsidTr="00B74C0C">
        <w:trPr>
          <w:jc w:val="center"/>
        </w:trPr>
        <w:tc>
          <w:tcPr>
            <w:tcW w:w="2440" w:type="dxa"/>
            <w:vAlign w:val="center"/>
          </w:tcPr>
          <w:p w14:paraId="5FE61F44" w14:textId="2C84ECA5" w:rsidR="00C24FF7" w:rsidRPr="008D5F0F" w:rsidRDefault="00C24FF7" w:rsidP="002C6C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отбора лизингополучателя</w:t>
            </w:r>
          </w:p>
        </w:tc>
        <w:tc>
          <w:tcPr>
            <w:tcW w:w="10018" w:type="dxa"/>
            <w:gridSpan w:val="5"/>
            <w:vAlign w:val="center"/>
          </w:tcPr>
          <w:p w14:paraId="02773E67" w14:textId="77777777" w:rsidR="00C24FF7" w:rsidRPr="00B635B4" w:rsidRDefault="00C24FF7" w:rsidP="00C24F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является индивидуальным предпринимателем или коммерческой организацией – резидентом Республики Беларусь, осуществляет деятельность на территории Республики Беларусь;</w:t>
            </w:r>
          </w:p>
          <w:p w14:paraId="33A19B55" w14:textId="77777777" w:rsidR="00C24FF7" w:rsidRPr="00B635B4" w:rsidRDefault="00C24FF7" w:rsidP="00C24F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суммарная доля собственности нерезидентов Республики Беларусь не более чем 49 (сорок девять) процентов уставного фонда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Лизингополучателя</w:t>
            </w: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9D0E246" w14:textId="77777777" w:rsidR="00C24FF7" w:rsidRPr="00B635B4" w:rsidRDefault="00C24FF7" w:rsidP="00C24F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не имеет просроченной задолженности по актив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ам, подверженным кредитному риску перед</w:t>
            </w: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банками, в том числе перед Банком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азвития, дочерними организациями Банка развития;</w:t>
            </w:r>
          </w:p>
          <w:p w14:paraId="3D857278" w14:textId="77777777" w:rsidR="00C24FF7" w:rsidRPr="00B635B4" w:rsidRDefault="00C24FF7" w:rsidP="00C24F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является независимым. Субъект МСП не признается независимым, если 25 (двадцать пять) процентов и более акций (долей его уставного фонда) принадлежит лицу, которое не удовлетворяет критериям классификации Субъектов МСП (за исключением: лиц, являющихся Республикой Беларусь, административно-территориальными единицами Республики Беларусь; юридических лиц, имущество которых принадлежит Республике Беларусь или ее административно-территориальным единицам; а также юридических лиц, сто процентов акций (долей уставного фонда) которых принадлежит Республике Беларусь и (или) ее административно-территориальным единицам или юридическим лицам, имущество которых принадлежит Республики Беларусь или ее административно-территориальным единицам);</w:t>
            </w:r>
          </w:p>
          <w:p w14:paraId="438533AB" w14:textId="77777777" w:rsidR="00C24FF7" w:rsidRDefault="00C24FF7" w:rsidP="00C24F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не находится в процессе реорганизации, ликвидации (прекращения деятельности), экономической несостоятельности (банкротства)</w:t>
            </w:r>
          </w:p>
          <w:p w14:paraId="1A4A6DC4" w14:textId="681C0B4C" w:rsidR="00C24FF7" w:rsidRPr="008D5F0F" w:rsidRDefault="00C24FF7" w:rsidP="00C24F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не является Субъектом МСП, финансирование которого запрещено в соответствии со специальными экономическими мерами (за исключением сделок в белорусских рублях).</w:t>
            </w:r>
          </w:p>
        </w:tc>
      </w:tr>
      <w:tr w:rsidR="00935852" w:rsidRPr="008D5F0F" w14:paraId="0E8F6664" w14:textId="77777777" w:rsidTr="009568B9">
        <w:trPr>
          <w:jc w:val="center"/>
        </w:trPr>
        <w:tc>
          <w:tcPr>
            <w:tcW w:w="2440" w:type="dxa"/>
          </w:tcPr>
          <w:p w14:paraId="43932826" w14:textId="77777777" w:rsidR="00935852" w:rsidRPr="008D5F0F" w:rsidRDefault="00935852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Целевое использование средств</w:t>
            </w:r>
          </w:p>
        </w:tc>
        <w:tc>
          <w:tcPr>
            <w:tcW w:w="10018" w:type="dxa"/>
            <w:gridSpan w:val="5"/>
          </w:tcPr>
          <w:p w14:paraId="3AF2C57F" w14:textId="77777777" w:rsidR="00935852" w:rsidRPr="008D5F0F" w:rsidRDefault="00935852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затрат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изинговых организаций, связанных с приобретением имущества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целью последующей передачи в лизинг субъектам МСП – лизингополучателям для их производственной, торговой деятельности или деятельности по оказанию услуг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35852" w:rsidRPr="008D5F0F" w14:paraId="2D666CCF" w14:textId="77777777" w:rsidTr="009568B9">
        <w:trPr>
          <w:jc w:val="center"/>
        </w:trPr>
        <w:tc>
          <w:tcPr>
            <w:tcW w:w="2440" w:type="dxa"/>
          </w:tcPr>
          <w:p w14:paraId="2E57C838" w14:textId="77777777" w:rsidR="00935852" w:rsidRPr="008D5F0F" w:rsidRDefault="00935852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Целевой сегмент субъектов МСП</w:t>
            </w:r>
          </w:p>
        </w:tc>
        <w:tc>
          <w:tcPr>
            <w:tcW w:w="10018" w:type="dxa"/>
            <w:gridSpan w:val="5"/>
          </w:tcPr>
          <w:p w14:paraId="02C7286C" w14:textId="48BFC9C9" w:rsidR="00935852" w:rsidRPr="008D5F0F" w:rsidRDefault="00935852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Субъекты МСП: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экономической деятельности для реализации </w:t>
            </w:r>
            <w:proofErr w:type="spellStart"/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>Субпроекта</w:t>
            </w:r>
            <w:proofErr w:type="spellEnd"/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относится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 секциям А –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  секции С (за исключением подклассов 11010, 11040, 25400</w:t>
            </w:r>
            <w:r w:rsidRPr="000356F0">
              <w:rPr>
                <w:rFonts w:ascii="Times New Roman" w:eastAsia="Times New Roman" w:hAnsi="Times New Roman" w:cs="Times New Roman"/>
                <w:sz w:val="24"/>
                <w:szCs w:val="24"/>
              </w:rPr>
              <w:t>, 30400, раздела 12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);  секциям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секции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(за исключением подклассов 46110 – 46190, 46341, 46350,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46480,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>47251, 47260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47770, 47790, 47910, 47990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секциям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секции М; разделам 78-82 секции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секциям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секции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(за исключением раздела 92);  разделам 95-96 секции </w:t>
            </w:r>
            <w:r w:rsidRPr="000356F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, согласно ОКЭД</w:t>
            </w:r>
            <w:r>
              <w:rPr>
                <w:rStyle w:val="af2"/>
                <w:rFonts w:ascii="Times New Roman" w:eastAsia="Calibri" w:hAnsi="Times New Roman" w:cs="Times New Roman"/>
                <w:sz w:val="24"/>
                <w:szCs w:val="24"/>
              </w:rPr>
              <w:footnoteReference w:id="2"/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F51ED" w:rsidRPr="008D5F0F" w14:paraId="23A038E8" w14:textId="77777777" w:rsidTr="009568B9">
        <w:trPr>
          <w:jc w:val="center"/>
        </w:trPr>
        <w:tc>
          <w:tcPr>
            <w:tcW w:w="2440" w:type="dxa"/>
          </w:tcPr>
          <w:p w14:paraId="66C91F84" w14:textId="000741CA" w:rsidR="001F51ED" w:rsidRPr="008D5F0F" w:rsidRDefault="001F51ED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 лизинга</w:t>
            </w:r>
          </w:p>
        </w:tc>
        <w:tc>
          <w:tcPr>
            <w:tcW w:w="10018" w:type="dxa"/>
            <w:gridSpan w:val="5"/>
          </w:tcPr>
          <w:p w14:paraId="4CCB0589" w14:textId="3F5C0C0A" w:rsidR="001F51ED" w:rsidRPr="008D5F0F" w:rsidRDefault="001F51ED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средства стоимостью от 1000 базовых величин (исключение транспортные средства).</w:t>
            </w:r>
          </w:p>
        </w:tc>
      </w:tr>
      <w:tr w:rsidR="00935852" w:rsidRPr="008D5F0F" w14:paraId="38F1E721" w14:textId="77777777" w:rsidTr="009568B9">
        <w:trPr>
          <w:jc w:val="center"/>
        </w:trPr>
        <w:tc>
          <w:tcPr>
            <w:tcW w:w="2440" w:type="dxa"/>
          </w:tcPr>
          <w:p w14:paraId="4D69162B" w14:textId="77777777" w:rsidR="00935852" w:rsidRPr="008D5F0F" w:rsidRDefault="00935852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Размер ставки, % годовых</w:t>
            </w:r>
          </w:p>
        </w:tc>
        <w:tc>
          <w:tcPr>
            <w:tcW w:w="10018" w:type="dxa"/>
            <w:gridSpan w:val="5"/>
          </w:tcPr>
          <w:p w14:paraId="1FA9320D" w14:textId="6540B42C" w:rsidR="00935852" w:rsidRPr="008D5F0F" w:rsidRDefault="00935852" w:rsidP="00935852">
            <w:pPr>
              <w:tabs>
                <w:tab w:val="left" w:pos="851"/>
                <w:tab w:val="left" w:pos="993"/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Ставка рефинансирования Национального банка Республики Беларусь*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уменьшенная</w:t>
            </w: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2,25</w:t>
            </w: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п.п.</w:t>
            </w:r>
          </w:p>
        </w:tc>
      </w:tr>
      <w:tr w:rsidR="00935852" w:rsidRPr="008D5F0F" w14:paraId="3CA53C3F" w14:textId="77777777" w:rsidTr="009568B9">
        <w:trPr>
          <w:jc w:val="center"/>
        </w:trPr>
        <w:tc>
          <w:tcPr>
            <w:tcW w:w="2440" w:type="dxa"/>
          </w:tcPr>
          <w:p w14:paraId="333C9EA0" w14:textId="77777777" w:rsidR="00935852" w:rsidRPr="008D5F0F" w:rsidRDefault="00935852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Срок финансирования</w:t>
            </w:r>
          </w:p>
        </w:tc>
        <w:tc>
          <w:tcPr>
            <w:tcW w:w="10018" w:type="dxa"/>
            <w:gridSpan w:val="5"/>
          </w:tcPr>
          <w:p w14:paraId="4CCF02A4" w14:textId="77777777" w:rsidR="00935852" w:rsidRPr="008D5F0F" w:rsidRDefault="00935852" w:rsidP="009358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До 5 лет</w:t>
            </w:r>
          </w:p>
        </w:tc>
      </w:tr>
      <w:tr w:rsidR="00935852" w:rsidRPr="008D5F0F" w14:paraId="2345B1F1" w14:textId="77777777" w:rsidTr="009568B9">
        <w:trPr>
          <w:jc w:val="center"/>
        </w:trPr>
        <w:tc>
          <w:tcPr>
            <w:tcW w:w="2440" w:type="dxa"/>
          </w:tcPr>
          <w:p w14:paraId="5A7DAE75" w14:textId="0D06BF5D" w:rsidR="00935852" w:rsidRPr="008D5F0F" w:rsidRDefault="00935852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Валюта финансирования</w:t>
            </w:r>
          </w:p>
        </w:tc>
        <w:tc>
          <w:tcPr>
            <w:tcW w:w="10018" w:type="dxa"/>
            <w:gridSpan w:val="5"/>
          </w:tcPr>
          <w:p w14:paraId="229AAF59" w14:textId="43C81E67" w:rsidR="00935852" w:rsidRPr="008D5F0F" w:rsidRDefault="00935852" w:rsidP="009358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Белорусские рубли</w:t>
            </w:r>
          </w:p>
        </w:tc>
      </w:tr>
      <w:tr w:rsidR="00935852" w:rsidRPr="008D5F0F" w14:paraId="262C36CF" w14:textId="77777777" w:rsidTr="009568B9">
        <w:trPr>
          <w:jc w:val="center"/>
        </w:trPr>
        <w:tc>
          <w:tcPr>
            <w:tcW w:w="2440" w:type="dxa"/>
          </w:tcPr>
          <w:p w14:paraId="738F6AA2" w14:textId="77777777" w:rsidR="00935852" w:rsidRPr="008D5F0F" w:rsidRDefault="00935852" w:rsidP="0093585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финансирования Субъекта МСП              </w:t>
            </w:r>
          </w:p>
        </w:tc>
        <w:tc>
          <w:tcPr>
            <w:tcW w:w="10018" w:type="dxa"/>
            <w:gridSpan w:val="5"/>
          </w:tcPr>
          <w:p w14:paraId="2F1A7CA3" w14:textId="77777777" w:rsidR="00935852" w:rsidRPr="008D5F0F" w:rsidRDefault="00935852" w:rsidP="002C6CC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098F">
              <w:rPr>
                <w:rFonts w:ascii="Times New Roman" w:eastAsia="Calibri" w:hAnsi="Times New Roman" w:cs="Times New Roman"/>
                <w:sz w:val="24"/>
                <w:szCs w:val="24"/>
              </w:rPr>
              <w:t>Не более 5 млн. белорусских рублей</w:t>
            </w:r>
          </w:p>
        </w:tc>
      </w:tr>
      <w:tr w:rsidR="008D72AB" w:rsidRPr="008D5F0F" w14:paraId="24FCDF02" w14:textId="77777777" w:rsidTr="00AE2543">
        <w:trPr>
          <w:jc w:val="center"/>
        </w:trPr>
        <w:tc>
          <w:tcPr>
            <w:tcW w:w="2440" w:type="dxa"/>
          </w:tcPr>
          <w:p w14:paraId="06F2A880" w14:textId="3ACA7610" w:rsidR="008D72AB" w:rsidRPr="008D5F0F" w:rsidRDefault="008D72AB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Авансовый платеж</w:t>
            </w:r>
          </w:p>
        </w:tc>
        <w:tc>
          <w:tcPr>
            <w:tcW w:w="10018" w:type="dxa"/>
            <w:gridSpan w:val="5"/>
            <w:vAlign w:val="center"/>
          </w:tcPr>
          <w:p w14:paraId="2636F25F" w14:textId="04201E1B" w:rsidR="008D72AB" w:rsidRDefault="008D72AB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От 20% до 40% стоимости предмета лизинга с учетом НДС.</w:t>
            </w:r>
          </w:p>
        </w:tc>
      </w:tr>
      <w:tr w:rsidR="008D72AB" w:rsidRPr="008D5F0F" w14:paraId="2E6C81F8" w14:textId="77777777" w:rsidTr="00AE2543">
        <w:trPr>
          <w:gridAfter w:val="1"/>
          <w:wAfter w:w="75" w:type="dxa"/>
          <w:trHeight w:val="699"/>
          <w:jc w:val="center"/>
        </w:trPr>
        <w:tc>
          <w:tcPr>
            <w:tcW w:w="2440" w:type="dxa"/>
          </w:tcPr>
          <w:p w14:paraId="05C59E0D" w14:textId="77777777" w:rsidR="008D72AB" w:rsidRPr="008D5F0F" w:rsidRDefault="008D72AB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</w:t>
            </w:r>
          </w:p>
          <w:p w14:paraId="0DA706EE" w14:textId="16C255E9" w:rsidR="008D72AB" w:rsidRPr="008D5F0F" w:rsidRDefault="008D72AB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43" w:type="dxa"/>
            <w:gridSpan w:val="4"/>
            <w:vAlign w:val="center"/>
          </w:tcPr>
          <w:p w14:paraId="5BC1A1E4" w14:textId="5A672914" w:rsidR="008D72AB" w:rsidRPr="008D5F0F" w:rsidRDefault="008D72AB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Возможно, при необходимости: залог ликвидного имущества (не менее 30% стоимости предмета лизинга с учетом НДС), задаток, поручительство, другое высоколиквидное обеспечение.</w:t>
            </w:r>
          </w:p>
        </w:tc>
      </w:tr>
      <w:tr w:rsidR="008D72AB" w:rsidRPr="008D5F0F" w14:paraId="26713AFD" w14:textId="77777777" w:rsidTr="00AE2543">
        <w:trPr>
          <w:gridAfter w:val="1"/>
          <w:wAfter w:w="75" w:type="dxa"/>
          <w:trHeight w:val="699"/>
          <w:jc w:val="center"/>
        </w:trPr>
        <w:tc>
          <w:tcPr>
            <w:tcW w:w="2440" w:type="dxa"/>
            <w:vAlign w:val="center"/>
          </w:tcPr>
          <w:p w14:paraId="5BE3806F" w14:textId="44C5B25D" w:rsidR="008D72AB" w:rsidRPr="008D5F0F" w:rsidRDefault="00C24FF7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Возмещение стоимости предмета лизинга</w:t>
            </w:r>
          </w:p>
        </w:tc>
        <w:tc>
          <w:tcPr>
            <w:tcW w:w="9943" w:type="dxa"/>
            <w:gridSpan w:val="4"/>
            <w:vAlign w:val="center"/>
          </w:tcPr>
          <w:p w14:paraId="5FCF154E" w14:textId="397EB53D" w:rsidR="008D72AB" w:rsidRPr="008D5F0F" w:rsidRDefault="008D72AB" w:rsidP="008D72AB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Ежемесячно равными долями. Базой для расчета лизингового платежа является непогашенная сумма контрактной стоимости предмета лизинга с учетом НДС.</w:t>
            </w:r>
          </w:p>
        </w:tc>
      </w:tr>
      <w:tr w:rsidR="008D72AB" w:rsidRPr="008D5F0F" w14:paraId="3A1A7311" w14:textId="77777777" w:rsidTr="00AE2543">
        <w:trPr>
          <w:gridAfter w:val="1"/>
          <w:wAfter w:w="75" w:type="dxa"/>
          <w:trHeight w:val="699"/>
          <w:jc w:val="center"/>
        </w:trPr>
        <w:tc>
          <w:tcPr>
            <w:tcW w:w="2440" w:type="dxa"/>
            <w:vAlign w:val="center"/>
          </w:tcPr>
          <w:p w14:paraId="3C0DE348" w14:textId="23BD2C1E" w:rsidR="008D72AB" w:rsidRPr="008D5F0F" w:rsidRDefault="008D72AB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Выкупная стоимость</w:t>
            </w:r>
          </w:p>
        </w:tc>
        <w:tc>
          <w:tcPr>
            <w:tcW w:w="9943" w:type="dxa"/>
            <w:gridSpan w:val="4"/>
            <w:vAlign w:val="center"/>
          </w:tcPr>
          <w:p w14:paraId="7BD51F30" w14:textId="2B5245AE" w:rsidR="008D72AB" w:rsidRPr="00D063BB" w:rsidRDefault="008D72AB" w:rsidP="008D72AB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1% стоимости предмета лизинга с учетом НДС.</w:t>
            </w:r>
          </w:p>
        </w:tc>
      </w:tr>
      <w:tr w:rsidR="008D72AB" w:rsidRPr="008D5F0F" w14:paraId="2BFD8BA8" w14:textId="77777777" w:rsidTr="003C1827">
        <w:trPr>
          <w:gridAfter w:val="1"/>
          <w:wAfter w:w="75" w:type="dxa"/>
          <w:trHeight w:val="699"/>
          <w:jc w:val="center"/>
        </w:trPr>
        <w:tc>
          <w:tcPr>
            <w:tcW w:w="2440" w:type="dxa"/>
            <w:vMerge w:val="restart"/>
            <w:vAlign w:val="center"/>
          </w:tcPr>
          <w:p w14:paraId="1DD8928A" w14:textId="14276037" w:rsidR="008D72AB" w:rsidRPr="00D063BB" w:rsidRDefault="008D72AB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</w:t>
            </w:r>
            <w:r w:rsidR="00D43926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е услови</w:t>
            </w:r>
            <w:r w:rsidR="00D4392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43" w:type="dxa"/>
            <w:gridSpan w:val="4"/>
          </w:tcPr>
          <w:p w14:paraId="187A6EE8" w14:textId="46B30F88" w:rsidR="008D72AB" w:rsidRPr="00D063BB" w:rsidRDefault="008D72AB" w:rsidP="008D72AB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Ресурсы предоставляются субъектам МСП, </w:t>
            </w:r>
            <w:r w:rsidRPr="00BA23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зарегистрированным и/или реализующим финансируемый </w:t>
            </w:r>
            <w:proofErr w:type="spellStart"/>
            <w:r w:rsidRPr="00BA23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Субпроект</w:t>
            </w:r>
            <w:proofErr w:type="spellEnd"/>
            <w:r w:rsidRPr="00BA23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территории следующих районов: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Ветковский, Вилейский, Ганцевичский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Глусский, Городокский, Дрогичинский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Зельвенский, Кировский, Клецкий,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Климовичский, Копыльский, Кормянский, Костюковичский, Краснопольский,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Кричевский, Лельчицкий, Лиозненский,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Лоевский, Малоритский, Мстиславский, Наровлянский,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Оршанский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Свислочский,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Сенненский, Славгородский, Столинский, Ушачский, Хойникский,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Хотимский,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Чаусский, Чериковский, Чечерский,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30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Шарковщинский, Шумилинский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D72AB" w:rsidRPr="008D5F0F" w14:paraId="1111B6D0" w14:textId="77777777" w:rsidTr="003C1827">
        <w:trPr>
          <w:gridAfter w:val="1"/>
          <w:wAfter w:w="75" w:type="dxa"/>
          <w:trHeight w:val="699"/>
          <w:jc w:val="center"/>
        </w:trPr>
        <w:tc>
          <w:tcPr>
            <w:tcW w:w="2440" w:type="dxa"/>
            <w:vMerge/>
            <w:vAlign w:val="center"/>
          </w:tcPr>
          <w:p w14:paraId="0F9D061A" w14:textId="77777777" w:rsidR="008D72AB" w:rsidRPr="00D063BB" w:rsidRDefault="008D72AB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43" w:type="dxa"/>
            <w:gridSpan w:val="4"/>
          </w:tcPr>
          <w:p w14:paraId="6F9F1098" w14:textId="77777777" w:rsidR="008D72AB" w:rsidRPr="00B41F79" w:rsidRDefault="008D72AB" w:rsidP="008D72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настоящего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продукта не финансируется: </w:t>
            </w:r>
          </w:p>
          <w:p w14:paraId="444C788D" w14:textId="77777777" w:rsidR="008D72AB" w:rsidRPr="00B41F79" w:rsidRDefault="008D72AB" w:rsidP="008D72AB">
            <w:pPr>
              <w:tabs>
                <w:tab w:val="left" w:pos="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типов жилых домов: одноквартирных и блокированных домов, многоквартирных домов, в т.ч. многоэтажных и квартир;</w:t>
            </w:r>
          </w:p>
          <w:p w14:paraId="44B99143" w14:textId="77777777" w:rsidR="008D72AB" w:rsidRPr="00B41F79" w:rsidRDefault="008D72AB" w:rsidP="008D72AB">
            <w:pPr>
              <w:tabs>
                <w:tab w:val="left" w:pos="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легковых автомобиле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й;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E06A197" w14:textId="77777777" w:rsidR="008D72AB" w:rsidRDefault="008D72AB" w:rsidP="008D72AB">
            <w:pPr>
              <w:tabs>
                <w:tab w:val="left" w:pos="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имущества, непосредственно не связанного с производственной деятельностью/деятельностью по оказани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F71E70F" w14:textId="77777777" w:rsidR="008D72AB" w:rsidRPr="000A4E73" w:rsidRDefault="008D72AB" w:rsidP="008D72AB">
            <w:pPr>
              <w:tabs>
                <w:tab w:val="left" w:pos="233"/>
              </w:tabs>
              <w:spacing w:line="23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приобретение</w:t>
            </w:r>
            <w:r w:rsidRPr="000A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средств, произведенных за пределами территории Республики Беларусь (для субъектов МСП, осуществляющих деятельность в сфере грузового автомобильного транспорта</w:t>
            </w:r>
            <w:r w:rsidRPr="00980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t>.</w:t>
            </w:r>
          </w:p>
          <w:p w14:paraId="4FBA160C" w14:textId="77777777" w:rsidR="008D72AB" w:rsidRPr="008D5F0F" w:rsidRDefault="008D72AB" w:rsidP="008D72AB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Лизинговая организация обязана досрочно осуществить выкуп облигаций в количестве, проданных Банку развития облигаций для финансирования </w:t>
            </w:r>
            <w:proofErr w:type="spellStart"/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>Субпроекта</w:t>
            </w:r>
            <w:proofErr w:type="spellEnd"/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(за вычетом ранее выкупленных облигаций в рамках данного </w:t>
            </w:r>
            <w:proofErr w:type="spellStart"/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>Субпроекта</w:t>
            </w:r>
            <w:proofErr w:type="spellEnd"/>
            <w:r w:rsidRPr="00323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при возникновении следующих случаев: 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14:paraId="30EC9DE8" w14:textId="77777777" w:rsidR="008D72AB" w:rsidRPr="008D5F0F" w:rsidRDefault="008D72AB" w:rsidP="008D72AB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нецелевого использования средств Субъектом МСП; </w:t>
            </w:r>
          </w:p>
          <w:p w14:paraId="15FFCABF" w14:textId="00729511" w:rsidR="008D72AB" w:rsidRPr="008D5F0F" w:rsidRDefault="008D72AB" w:rsidP="008D72AB">
            <w:pPr>
              <w:tabs>
                <w:tab w:val="left" w:pos="28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2. прекращения Субъектом МСП деятельности, профинансированной за счет средств Банка развития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153DF" w:rsidRPr="008D5F0F" w14:paraId="5DADEB75" w14:textId="77777777" w:rsidTr="003C1827">
        <w:trPr>
          <w:gridAfter w:val="1"/>
          <w:wAfter w:w="75" w:type="dxa"/>
          <w:trHeight w:val="699"/>
          <w:jc w:val="center"/>
        </w:trPr>
        <w:tc>
          <w:tcPr>
            <w:tcW w:w="2440" w:type="dxa"/>
            <w:vAlign w:val="center"/>
          </w:tcPr>
          <w:p w14:paraId="3EE6083C" w14:textId="77777777" w:rsidR="005153DF" w:rsidRPr="00D063BB" w:rsidRDefault="005153DF" w:rsidP="008D72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43" w:type="dxa"/>
            <w:gridSpan w:val="4"/>
          </w:tcPr>
          <w:p w14:paraId="66649D62" w14:textId="77777777" w:rsidR="005153DF" w:rsidRPr="00D063BB" w:rsidRDefault="005153DF" w:rsidP="005153DF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Стабильное финансовое состояние потенциального лизингополучателя.</w:t>
            </w:r>
          </w:p>
          <w:p w14:paraId="19D6BA18" w14:textId="3CF6B369" w:rsidR="005153DF" w:rsidRPr="00B41F79" w:rsidRDefault="005153DF" w:rsidP="005153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реальных источников погашения лизинговых платежей.</w:t>
            </w:r>
          </w:p>
        </w:tc>
      </w:tr>
    </w:tbl>
    <w:p w14:paraId="1FBED18C" w14:textId="77777777" w:rsidR="008D72AB" w:rsidRPr="006D2D92" w:rsidRDefault="008D72AB" w:rsidP="008D72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D92">
        <w:rPr>
          <w:rFonts w:ascii="Times New Roman" w:eastAsia="Times New Roman" w:hAnsi="Times New Roman" w:cs="Times New Roman"/>
          <w:sz w:val="24"/>
          <w:szCs w:val="24"/>
          <w:lang w:eastAsia="ru-RU"/>
        </w:rPr>
        <w:t>* Ставка рефинансирования Национального банка Республики Беларусь – переменная величина, устанавливается Постановлением Правления Национального банка Республики Беларусь.</w:t>
      </w:r>
    </w:p>
    <w:p w14:paraId="7679A2AD" w14:textId="77777777" w:rsidR="008D72AB" w:rsidRPr="00A1215E" w:rsidRDefault="008D72AB" w:rsidP="008D72AB"/>
    <w:p w14:paraId="3BF3779A" w14:textId="77777777" w:rsidR="008E13EF" w:rsidRPr="008D5F0F" w:rsidRDefault="008E13EF" w:rsidP="0034173C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spacing w:after="0" w:line="240" w:lineRule="auto"/>
        <w:ind w:left="10632"/>
        <w:jc w:val="right"/>
        <w:rPr>
          <w:rFonts w:ascii="Times New Roman" w:eastAsia="Calibri" w:hAnsi="Times New Roman" w:cs="Times New Roman"/>
          <w:sz w:val="26"/>
          <w:szCs w:val="26"/>
        </w:rPr>
      </w:pPr>
    </w:p>
    <w:sectPr w:rsidR="008E13EF" w:rsidRPr="008D5F0F" w:rsidSect="00A93DCD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F1736" w14:textId="77777777" w:rsidR="00311D22" w:rsidRDefault="00311D22" w:rsidP="002D04AE">
      <w:pPr>
        <w:spacing w:after="0" w:line="240" w:lineRule="auto"/>
      </w:pPr>
      <w:r>
        <w:separator/>
      </w:r>
    </w:p>
  </w:endnote>
  <w:endnote w:type="continuationSeparator" w:id="0">
    <w:p w14:paraId="5D1A2C25" w14:textId="77777777" w:rsidR="00311D22" w:rsidRDefault="00311D22" w:rsidP="002D0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D21F2" w14:textId="77777777" w:rsidR="00311D22" w:rsidRDefault="00311D22" w:rsidP="002D04AE">
      <w:pPr>
        <w:spacing w:after="0" w:line="240" w:lineRule="auto"/>
      </w:pPr>
      <w:r>
        <w:separator/>
      </w:r>
    </w:p>
  </w:footnote>
  <w:footnote w:type="continuationSeparator" w:id="0">
    <w:p w14:paraId="37B7E857" w14:textId="77777777" w:rsidR="00311D22" w:rsidRDefault="00311D22" w:rsidP="002D04AE">
      <w:pPr>
        <w:spacing w:after="0" w:line="240" w:lineRule="auto"/>
      </w:pPr>
      <w:r>
        <w:continuationSeparator/>
      </w:r>
    </w:p>
  </w:footnote>
  <w:footnote w:id="1">
    <w:p w14:paraId="60F0B3BB" w14:textId="77777777" w:rsidR="00935852" w:rsidRPr="00A62E6D" w:rsidRDefault="00935852" w:rsidP="00616288">
      <w:pPr>
        <w:pStyle w:val="af0"/>
        <w:rPr>
          <w:sz w:val="18"/>
          <w:szCs w:val="18"/>
        </w:rPr>
      </w:pPr>
      <w:r w:rsidRPr="00A62E6D">
        <w:rPr>
          <w:rStyle w:val="af2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A62E6D">
        <w:rPr>
          <w:sz w:val="18"/>
          <w:szCs w:val="18"/>
        </w:rPr>
        <w:t>Под имуществом понимаются основные средства</w:t>
      </w:r>
      <w:r>
        <w:rPr>
          <w:sz w:val="18"/>
          <w:szCs w:val="18"/>
        </w:rPr>
        <w:t>.</w:t>
      </w:r>
    </w:p>
  </w:footnote>
  <w:footnote w:id="2">
    <w:p w14:paraId="0D2BF324" w14:textId="77777777" w:rsidR="00935852" w:rsidRPr="00B16219" w:rsidRDefault="00935852" w:rsidP="00616288">
      <w:pPr>
        <w:pStyle w:val="af0"/>
        <w:rPr>
          <w:sz w:val="16"/>
          <w:szCs w:val="16"/>
        </w:rPr>
      </w:pPr>
      <w:r>
        <w:rPr>
          <w:rStyle w:val="af2"/>
        </w:rPr>
        <w:footnoteRef/>
      </w:r>
      <w:r>
        <w:t xml:space="preserve"> </w:t>
      </w:r>
      <w:r w:rsidRPr="00A62E6D">
        <w:rPr>
          <w:sz w:val="18"/>
          <w:szCs w:val="18"/>
        </w:rPr>
        <w:t>ОКЭД – Общегосударственный классификатор Республики Беларусь «Виды экономической деятельности»</w:t>
      </w:r>
      <w:r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3752F"/>
    <w:multiLevelType w:val="hybridMultilevel"/>
    <w:tmpl w:val="565A4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10668"/>
    <w:multiLevelType w:val="hybridMultilevel"/>
    <w:tmpl w:val="DAF69BEE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A160B"/>
    <w:multiLevelType w:val="hybridMultilevel"/>
    <w:tmpl w:val="479EC7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91135F"/>
    <w:multiLevelType w:val="hybridMultilevel"/>
    <w:tmpl w:val="86DA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E168E"/>
    <w:multiLevelType w:val="hybridMultilevel"/>
    <w:tmpl w:val="D5FA80F4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C206F"/>
    <w:multiLevelType w:val="hybridMultilevel"/>
    <w:tmpl w:val="EEF6F5CE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06FA7"/>
    <w:multiLevelType w:val="hybridMultilevel"/>
    <w:tmpl w:val="E702D1FC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F245D"/>
    <w:multiLevelType w:val="hybridMultilevel"/>
    <w:tmpl w:val="702E0940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567A9"/>
    <w:multiLevelType w:val="hybridMultilevel"/>
    <w:tmpl w:val="208AC7C0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D0587"/>
    <w:multiLevelType w:val="hybridMultilevel"/>
    <w:tmpl w:val="53EAA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20C80"/>
    <w:multiLevelType w:val="hybridMultilevel"/>
    <w:tmpl w:val="59824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97F35"/>
    <w:multiLevelType w:val="hybridMultilevel"/>
    <w:tmpl w:val="C6589BBA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4666A"/>
    <w:multiLevelType w:val="hybridMultilevel"/>
    <w:tmpl w:val="9CFE51BE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014118">
    <w:abstractNumId w:val="5"/>
  </w:num>
  <w:num w:numId="2" w16cid:durableId="728962088">
    <w:abstractNumId w:val="2"/>
  </w:num>
  <w:num w:numId="3" w16cid:durableId="1528790339">
    <w:abstractNumId w:val="3"/>
  </w:num>
  <w:num w:numId="4" w16cid:durableId="1900820468">
    <w:abstractNumId w:val="12"/>
  </w:num>
  <w:num w:numId="5" w16cid:durableId="1661351686">
    <w:abstractNumId w:val="11"/>
  </w:num>
  <w:num w:numId="6" w16cid:durableId="1029061741">
    <w:abstractNumId w:val="7"/>
  </w:num>
  <w:num w:numId="7" w16cid:durableId="1152600277">
    <w:abstractNumId w:val="6"/>
  </w:num>
  <w:num w:numId="8" w16cid:durableId="1670057113">
    <w:abstractNumId w:val="8"/>
  </w:num>
  <w:num w:numId="9" w16cid:durableId="938216435">
    <w:abstractNumId w:val="1"/>
  </w:num>
  <w:num w:numId="10" w16cid:durableId="1500124018">
    <w:abstractNumId w:val="0"/>
  </w:num>
  <w:num w:numId="11" w16cid:durableId="2106875654">
    <w:abstractNumId w:val="4"/>
  </w:num>
  <w:num w:numId="12" w16cid:durableId="1387872280">
    <w:abstractNumId w:val="10"/>
  </w:num>
  <w:num w:numId="13" w16cid:durableId="182597378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4803E9"/>
    <w:rsid w:val="00001975"/>
    <w:rsid w:val="00001A3D"/>
    <w:rsid w:val="0001328C"/>
    <w:rsid w:val="000212CA"/>
    <w:rsid w:val="0002288E"/>
    <w:rsid w:val="00027D47"/>
    <w:rsid w:val="0003457F"/>
    <w:rsid w:val="0004474A"/>
    <w:rsid w:val="000453E8"/>
    <w:rsid w:val="000508CD"/>
    <w:rsid w:val="0005368D"/>
    <w:rsid w:val="00064329"/>
    <w:rsid w:val="000650A6"/>
    <w:rsid w:val="00066CBB"/>
    <w:rsid w:val="000913CB"/>
    <w:rsid w:val="00093F4B"/>
    <w:rsid w:val="000A4E73"/>
    <w:rsid w:val="000C1BCF"/>
    <w:rsid w:val="000C57B4"/>
    <w:rsid w:val="000D4AD2"/>
    <w:rsid w:val="000E758E"/>
    <w:rsid w:val="000F2D1F"/>
    <w:rsid w:val="000F3EC7"/>
    <w:rsid w:val="001006EA"/>
    <w:rsid w:val="001128CD"/>
    <w:rsid w:val="00123180"/>
    <w:rsid w:val="00126230"/>
    <w:rsid w:val="001323BB"/>
    <w:rsid w:val="00135EEC"/>
    <w:rsid w:val="00137127"/>
    <w:rsid w:val="001477A5"/>
    <w:rsid w:val="001527A3"/>
    <w:rsid w:val="00154A99"/>
    <w:rsid w:val="001657DC"/>
    <w:rsid w:val="00166911"/>
    <w:rsid w:val="00171832"/>
    <w:rsid w:val="00176C2C"/>
    <w:rsid w:val="0017781B"/>
    <w:rsid w:val="0018147C"/>
    <w:rsid w:val="001833CF"/>
    <w:rsid w:val="00191DBC"/>
    <w:rsid w:val="00195C40"/>
    <w:rsid w:val="00196D15"/>
    <w:rsid w:val="001A5D0B"/>
    <w:rsid w:val="001A637D"/>
    <w:rsid w:val="001B3910"/>
    <w:rsid w:val="001B544E"/>
    <w:rsid w:val="001D04E2"/>
    <w:rsid w:val="001D0E04"/>
    <w:rsid w:val="001D6710"/>
    <w:rsid w:val="001E586D"/>
    <w:rsid w:val="001F0668"/>
    <w:rsid w:val="001F51ED"/>
    <w:rsid w:val="00207200"/>
    <w:rsid w:val="00213080"/>
    <w:rsid w:val="002156A3"/>
    <w:rsid w:val="00226CBF"/>
    <w:rsid w:val="00230A56"/>
    <w:rsid w:val="00232CEA"/>
    <w:rsid w:val="00240656"/>
    <w:rsid w:val="00241966"/>
    <w:rsid w:val="00241E32"/>
    <w:rsid w:val="00241EA9"/>
    <w:rsid w:val="00245C29"/>
    <w:rsid w:val="002505F3"/>
    <w:rsid w:val="0025424A"/>
    <w:rsid w:val="00260E07"/>
    <w:rsid w:val="00261DDF"/>
    <w:rsid w:val="00267922"/>
    <w:rsid w:val="002809E5"/>
    <w:rsid w:val="00290E28"/>
    <w:rsid w:val="0029210D"/>
    <w:rsid w:val="002A506A"/>
    <w:rsid w:val="002B78FF"/>
    <w:rsid w:val="002C3C09"/>
    <w:rsid w:val="002C4E0C"/>
    <w:rsid w:val="002C516A"/>
    <w:rsid w:val="002C6CC3"/>
    <w:rsid w:val="002D04AE"/>
    <w:rsid w:val="002D2134"/>
    <w:rsid w:val="002D27B4"/>
    <w:rsid w:val="002D4310"/>
    <w:rsid w:val="002D60F2"/>
    <w:rsid w:val="002E24E2"/>
    <w:rsid w:val="002F0B7E"/>
    <w:rsid w:val="002F2142"/>
    <w:rsid w:val="002F6DF0"/>
    <w:rsid w:val="00311D22"/>
    <w:rsid w:val="00323EBB"/>
    <w:rsid w:val="00327154"/>
    <w:rsid w:val="00331776"/>
    <w:rsid w:val="003402A2"/>
    <w:rsid w:val="0034173C"/>
    <w:rsid w:val="00343C89"/>
    <w:rsid w:val="00344576"/>
    <w:rsid w:val="00356629"/>
    <w:rsid w:val="0036100D"/>
    <w:rsid w:val="00362321"/>
    <w:rsid w:val="00365DEF"/>
    <w:rsid w:val="00383E90"/>
    <w:rsid w:val="00385C16"/>
    <w:rsid w:val="003A0629"/>
    <w:rsid w:val="003A428A"/>
    <w:rsid w:val="003A6685"/>
    <w:rsid w:val="003B09B4"/>
    <w:rsid w:val="003B1D80"/>
    <w:rsid w:val="003C33AA"/>
    <w:rsid w:val="003C341C"/>
    <w:rsid w:val="003D2A9D"/>
    <w:rsid w:val="003D402E"/>
    <w:rsid w:val="003E7883"/>
    <w:rsid w:val="003E7C34"/>
    <w:rsid w:val="003F2E4E"/>
    <w:rsid w:val="003F7A06"/>
    <w:rsid w:val="004007B7"/>
    <w:rsid w:val="00403B6E"/>
    <w:rsid w:val="00416A0F"/>
    <w:rsid w:val="0042556E"/>
    <w:rsid w:val="00433777"/>
    <w:rsid w:val="00435765"/>
    <w:rsid w:val="00445B5F"/>
    <w:rsid w:val="004470A8"/>
    <w:rsid w:val="00454304"/>
    <w:rsid w:val="00460D34"/>
    <w:rsid w:val="00471810"/>
    <w:rsid w:val="00471F6D"/>
    <w:rsid w:val="00471FC4"/>
    <w:rsid w:val="00475F4E"/>
    <w:rsid w:val="004803E9"/>
    <w:rsid w:val="004924FF"/>
    <w:rsid w:val="00493987"/>
    <w:rsid w:val="004A45FD"/>
    <w:rsid w:val="004B510C"/>
    <w:rsid w:val="004D4FC6"/>
    <w:rsid w:val="004D5B9E"/>
    <w:rsid w:val="004E2E0D"/>
    <w:rsid w:val="004F0C83"/>
    <w:rsid w:val="004F2DFF"/>
    <w:rsid w:val="00506E6C"/>
    <w:rsid w:val="00512409"/>
    <w:rsid w:val="005153DF"/>
    <w:rsid w:val="00521637"/>
    <w:rsid w:val="00534014"/>
    <w:rsid w:val="00536169"/>
    <w:rsid w:val="00551797"/>
    <w:rsid w:val="005548F7"/>
    <w:rsid w:val="00555F45"/>
    <w:rsid w:val="005627B9"/>
    <w:rsid w:val="00564CED"/>
    <w:rsid w:val="00575785"/>
    <w:rsid w:val="0058091E"/>
    <w:rsid w:val="00591D80"/>
    <w:rsid w:val="00594696"/>
    <w:rsid w:val="005A17BD"/>
    <w:rsid w:val="005A3B5E"/>
    <w:rsid w:val="005A7A5E"/>
    <w:rsid w:val="005B170C"/>
    <w:rsid w:val="005C366F"/>
    <w:rsid w:val="005D19E2"/>
    <w:rsid w:val="005D39CB"/>
    <w:rsid w:val="005E3B75"/>
    <w:rsid w:val="005F7A01"/>
    <w:rsid w:val="00602022"/>
    <w:rsid w:val="006029AB"/>
    <w:rsid w:val="00604422"/>
    <w:rsid w:val="00604795"/>
    <w:rsid w:val="00616288"/>
    <w:rsid w:val="00622B82"/>
    <w:rsid w:val="00626A0F"/>
    <w:rsid w:val="006320A2"/>
    <w:rsid w:val="00632167"/>
    <w:rsid w:val="00632BBB"/>
    <w:rsid w:val="0064114D"/>
    <w:rsid w:val="00642DB0"/>
    <w:rsid w:val="006446C7"/>
    <w:rsid w:val="00645723"/>
    <w:rsid w:val="00646112"/>
    <w:rsid w:val="0065337D"/>
    <w:rsid w:val="00653972"/>
    <w:rsid w:val="006566CA"/>
    <w:rsid w:val="00660BB4"/>
    <w:rsid w:val="0066341B"/>
    <w:rsid w:val="006759E9"/>
    <w:rsid w:val="00676B99"/>
    <w:rsid w:val="00680921"/>
    <w:rsid w:val="006904EB"/>
    <w:rsid w:val="00692311"/>
    <w:rsid w:val="00692512"/>
    <w:rsid w:val="0069455C"/>
    <w:rsid w:val="00695688"/>
    <w:rsid w:val="006958D6"/>
    <w:rsid w:val="00697146"/>
    <w:rsid w:val="006A1541"/>
    <w:rsid w:val="006A2C29"/>
    <w:rsid w:val="006A6575"/>
    <w:rsid w:val="006B28E8"/>
    <w:rsid w:val="006C269C"/>
    <w:rsid w:val="006C548D"/>
    <w:rsid w:val="006C7F3E"/>
    <w:rsid w:val="006D0BFF"/>
    <w:rsid w:val="006D3587"/>
    <w:rsid w:val="006D4D80"/>
    <w:rsid w:val="006E06A3"/>
    <w:rsid w:val="006E0F11"/>
    <w:rsid w:val="006E6433"/>
    <w:rsid w:val="006E7ECA"/>
    <w:rsid w:val="00701615"/>
    <w:rsid w:val="0070425C"/>
    <w:rsid w:val="00713BC1"/>
    <w:rsid w:val="00716C68"/>
    <w:rsid w:val="007256D7"/>
    <w:rsid w:val="00725C99"/>
    <w:rsid w:val="0073552F"/>
    <w:rsid w:val="00743B9F"/>
    <w:rsid w:val="007745C9"/>
    <w:rsid w:val="0078230F"/>
    <w:rsid w:val="0079720B"/>
    <w:rsid w:val="007A0415"/>
    <w:rsid w:val="007A2B0A"/>
    <w:rsid w:val="007A4734"/>
    <w:rsid w:val="007A7AA3"/>
    <w:rsid w:val="007B0C35"/>
    <w:rsid w:val="007B22F5"/>
    <w:rsid w:val="007B35FD"/>
    <w:rsid w:val="007D7220"/>
    <w:rsid w:val="007E6D20"/>
    <w:rsid w:val="00801964"/>
    <w:rsid w:val="008165B0"/>
    <w:rsid w:val="00821B5A"/>
    <w:rsid w:val="008272D0"/>
    <w:rsid w:val="008275B8"/>
    <w:rsid w:val="00827A11"/>
    <w:rsid w:val="008343F3"/>
    <w:rsid w:val="00841F44"/>
    <w:rsid w:val="008504F7"/>
    <w:rsid w:val="00850730"/>
    <w:rsid w:val="0085500C"/>
    <w:rsid w:val="00865E78"/>
    <w:rsid w:val="008662C3"/>
    <w:rsid w:val="008762BD"/>
    <w:rsid w:val="00877A0A"/>
    <w:rsid w:val="00884F52"/>
    <w:rsid w:val="008A008D"/>
    <w:rsid w:val="008A5754"/>
    <w:rsid w:val="008B4FF5"/>
    <w:rsid w:val="008B6019"/>
    <w:rsid w:val="008B7E9A"/>
    <w:rsid w:val="008C5A3F"/>
    <w:rsid w:val="008C6CA7"/>
    <w:rsid w:val="008D0317"/>
    <w:rsid w:val="008D1854"/>
    <w:rsid w:val="008D49B0"/>
    <w:rsid w:val="008D72A1"/>
    <w:rsid w:val="008D72AB"/>
    <w:rsid w:val="008D7A73"/>
    <w:rsid w:val="008E13EF"/>
    <w:rsid w:val="008E4B04"/>
    <w:rsid w:val="008E681A"/>
    <w:rsid w:val="008F70BD"/>
    <w:rsid w:val="00917FBA"/>
    <w:rsid w:val="0093342D"/>
    <w:rsid w:val="009338BA"/>
    <w:rsid w:val="00935852"/>
    <w:rsid w:val="00945A38"/>
    <w:rsid w:val="00954249"/>
    <w:rsid w:val="0095528C"/>
    <w:rsid w:val="009568B9"/>
    <w:rsid w:val="009711D0"/>
    <w:rsid w:val="009761E5"/>
    <w:rsid w:val="00982236"/>
    <w:rsid w:val="0098630E"/>
    <w:rsid w:val="00987E1C"/>
    <w:rsid w:val="009916B8"/>
    <w:rsid w:val="009A11A4"/>
    <w:rsid w:val="009A20F6"/>
    <w:rsid w:val="009A2806"/>
    <w:rsid w:val="009B244A"/>
    <w:rsid w:val="009D03B8"/>
    <w:rsid w:val="009D2E86"/>
    <w:rsid w:val="009D5335"/>
    <w:rsid w:val="009E4357"/>
    <w:rsid w:val="009F40E3"/>
    <w:rsid w:val="009F77D6"/>
    <w:rsid w:val="00A01CF0"/>
    <w:rsid w:val="00A11DE8"/>
    <w:rsid w:val="00A1410C"/>
    <w:rsid w:val="00A47695"/>
    <w:rsid w:val="00A503C5"/>
    <w:rsid w:val="00A50D45"/>
    <w:rsid w:val="00A57204"/>
    <w:rsid w:val="00A60EDD"/>
    <w:rsid w:val="00A6290A"/>
    <w:rsid w:val="00A75072"/>
    <w:rsid w:val="00A76C9E"/>
    <w:rsid w:val="00A83C6B"/>
    <w:rsid w:val="00A87908"/>
    <w:rsid w:val="00A93DCD"/>
    <w:rsid w:val="00A94B34"/>
    <w:rsid w:val="00AA4533"/>
    <w:rsid w:val="00AA6DD1"/>
    <w:rsid w:val="00AA7AB4"/>
    <w:rsid w:val="00AB1990"/>
    <w:rsid w:val="00AB683D"/>
    <w:rsid w:val="00AD1E1C"/>
    <w:rsid w:val="00AD4D64"/>
    <w:rsid w:val="00AE6A3A"/>
    <w:rsid w:val="00AF3C77"/>
    <w:rsid w:val="00AF3E21"/>
    <w:rsid w:val="00AF6480"/>
    <w:rsid w:val="00B106CE"/>
    <w:rsid w:val="00B11382"/>
    <w:rsid w:val="00B16219"/>
    <w:rsid w:val="00B17064"/>
    <w:rsid w:val="00B20515"/>
    <w:rsid w:val="00B206AF"/>
    <w:rsid w:val="00B27092"/>
    <w:rsid w:val="00B302F7"/>
    <w:rsid w:val="00B349AB"/>
    <w:rsid w:val="00B36865"/>
    <w:rsid w:val="00B41F79"/>
    <w:rsid w:val="00B4477F"/>
    <w:rsid w:val="00B47F18"/>
    <w:rsid w:val="00B563C2"/>
    <w:rsid w:val="00B6018B"/>
    <w:rsid w:val="00B62EA4"/>
    <w:rsid w:val="00B72B2C"/>
    <w:rsid w:val="00B7306C"/>
    <w:rsid w:val="00B959C7"/>
    <w:rsid w:val="00B970D5"/>
    <w:rsid w:val="00BA1421"/>
    <w:rsid w:val="00BA23BB"/>
    <w:rsid w:val="00BA4D39"/>
    <w:rsid w:val="00BB37E2"/>
    <w:rsid w:val="00BB3EA1"/>
    <w:rsid w:val="00BC30B0"/>
    <w:rsid w:val="00BC7811"/>
    <w:rsid w:val="00BD37FC"/>
    <w:rsid w:val="00BF74D2"/>
    <w:rsid w:val="00C03C03"/>
    <w:rsid w:val="00C0765F"/>
    <w:rsid w:val="00C128BF"/>
    <w:rsid w:val="00C1709A"/>
    <w:rsid w:val="00C17CAF"/>
    <w:rsid w:val="00C24FF7"/>
    <w:rsid w:val="00C25A49"/>
    <w:rsid w:val="00C4410E"/>
    <w:rsid w:val="00C5299C"/>
    <w:rsid w:val="00C61694"/>
    <w:rsid w:val="00C619CD"/>
    <w:rsid w:val="00C9462D"/>
    <w:rsid w:val="00CB6D5B"/>
    <w:rsid w:val="00CB74FD"/>
    <w:rsid w:val="00CC2714"/>
    <w:rsid w:val="00CC3811"/>
    <w:rsid w:val="00CC6A23"/>
    <w:rsid w:val="00CC7F11"/>
    <w:rsid w:val="00CD3EA7"/>
    <w:rsid w:val="00CE642C"/>
    <w:rsid w:val="00CF46D7"/>
    <w:rsid w:val="00CF6AFD"/>
    <w:rsid w:val="00D0099D"/>
    <w:rsid w:val="00D0544A"/>
    <w:rsid w:val="00D1307A"/>
    <w:rsid w:val="00D171E0"/>
    <w:rsid w:val="00D174D5"/>
    <w:rsid w:val="00D21974"/>
    <w:rsid w:val="00D319D6"/>
    <w:rsid w:val="00D3389C"/>
    <w:rsid w:val="00D4007D"/>
    <w:rsid w:val="00D43926"/>
    <w:rsid w:val="00D45010"/>
    <w:rsid w:val="00D4760A"/>
    <w:rsid w:val="00D51B39"/>
    <w:rsid w:val="00D52E73"/>
    <w:rsid w:val="00D60605"/>
    <w:rsid w:val="00D724B3"/>
    <w:rsid w:val="00D7577F"/>
    <w:rsid w:val="00D80791"/>
    <w:rsid w:val="00D83AAF"/>
    <w:rsid w:val="00D850B1"/>
    <w:rsid w:val="00D86796"/>
    <w:rsid w:val="00D877A0"/>
    <w:rsid w:val="00D907A8"/>
    <w:rsid w:val="00D9192D"/>
    <w:rsid w:val="00D91B45"/>
    <w:rsid w:val="00D939A7"/>
    <w:rsid w:val="00D94B54"/>
    <w:rsid w:val="00DA6FEC"/>
    <w:rsid w:val="00DB3995"/>
    <w:rsid w:val="00DB4F51"/>
    <w:rsid w:val="00DB57AC"/>
    <w:rsid w:val="00DB63B8"/>
    <w:rsid w:val="00DE11E2"/>
    <w:rsid w:val="00E05271"/>
    <w:rsid w:val="00E065D0"/>
    <w:rsid w:val="00E072AB"/>
    <w:rsid w:val="00E1049A"/>
    <w:rsid w:val="00E11CD3"/>
    <w:rsid w:val="00E120C1"/>
    <w:rsid w:val="00E15129"/>
    <w:rsid w:val="00E2028C"/>
    <w:rsid w:val="00E20D0B"/>
    <w:rsid w:val="00E32667"/>
    <w:rsid w:val="00E37446"/>
    <w:rsid w:val="00E40C1E"/>
    <w:rsid w:val="00E41F20"/>
    <w:rsid w:val="00E5512A"/>
    <w:rsid w:val="00E56AA1"/>
    <w:rsid w:val="00E5736F"/>
    <w:rsid w:val="00E73BF0"/>
    <w:rsid w:val="00EA36DB"/>
    <w:rsid w:val="00EA3900"/>
    <w:rsid w:val="00EA6DDA"/>
    <w:rsid w:val="00EB2146"/>
    <w:rsid w:val="00EB24F4"/>
    <w:rsid w:val="00EB611C"/>
    <w:rsid w:val="00EB6762"/>
    <w:rsid w:val="00EC2234"/>
    <w:rsid w:val="00EC4475"/>
    <w:rsid w:val="00EC6C83"/>
    <w:rsid w:val="00EC72B8"/>
    <w:rsid w:val="00EC73C2"/>
    <w:rsid w:val="00ED0D7E"/>
    <w:rsid w:val="00ED123C"/>
    <w:rsid w:val="00ED20BD"/>
    <w:rsid w:val="00EE45F5"/>
    <w:rsid w:val="00EF0B3E"/>
    <w:rsid w:val="00F046EB"/>
    <w:rsid w:val="00F07F54"/>
    <w:rsid w:val="00F13992"/>
    <w:rsid w:val="00F26103"/>
    <w:rsid w:val="00F270B0"/>
    <w:rsid w:val="00F2768A"/>
    <w:rsid w:val="00F30213"/>
    <w:rsid w:val="00F378F7"/>
    <w:rsid w:val="00F37A3C"/>
    <w:rsid w:val="00F434D3"/>
    <w:rsid w:val="00F55CA0"/>
    <w:rsid w:val="00F623D8"/>
    <w:rsid w:val="00F65F3A"/>
    <w:rsid w:val="00F6715C"/>
    <w:rsid w:val="00F737A7"/>
    <w:rsid w:val="00F824D5"/>
    <w:rsid w:val="00F87169"/>
    <w:rsid w:val="00F900CB"/>
    <w:rsid w:val="00F91128"/>
    <w:rsid w:val="00FA4590"/>
    <w:rsid w:val="00FA7228"/>
    <w:rsid w:val="00FB0A89"/>
    <w:rsid w:val="00FB4643"/>
    <w:rsid w:val="00FC0B1F"/>
    <w:rsid w:val="00FC120A"/>
    <w:rsid w:val="00FC4960"/>
    <w:rsid w:val="00FD01B2"/>
    <w:rsid w:val="00FD5AEB"/>
    <w:rsid w:val="00FE7385"/>
    <w:rsid w:val="00F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8F13"/>
  <w15:chartTrackingRefBased/>
  <w15:docId w15:val="{1E8F8082-53D1-4901-9096-F43484ED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865"/>
  </w:style>
  <w:style w:type="paragraph" w:styleId="1">
    <w:name w:val="heading 1"/>
    <w:basedOn w:val="a"/>
    <w:next w:val="a"/>
    <w:link w:val="10"/>
    <w:qFormat/>
    <w:rsid w:val="002D04AE"/>
    <w:pPr>
      <w:keepNext/>
      <w:spacing w:after="0" w:line="240" w:lineRule="auto"/>
      <w:jc w:val="both"/>
      <w:outlineLvl w:val="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4AE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04AE"/>
  </w:style>
  <w:style w:type="paragraph" w:styleId="a3">
    <w:name w:val="List Paragraph"/>
    <w:aliases w:val="List Paragraph 1,NUMBERED PARAGRAPH,Bullets,PAD,References,List_Paragraph,Multilevel para_II,List Paragraph1,Akapit z listą BS,List Paragraph (numbered (a)),IBL List Paragraph,List Paragraph nowy,Numbered List Paragraph,Bullet1"/>
    <w:basedOn w:val="a"/>
    <w:link w:val="a4"/>
    <w:uiPriority w:val="34"/>
    <w:qFormat/>
    <w:rsid w:val="002D0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D04A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D0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2D04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04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2D04A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D0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0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D04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D04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14">
    <w:name w:val="Основной 14+"/>
    <w:basedOn w:val="a"/>
    <w:link w:val="140"/>
    <w:rsid w:val="002D04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40">
    <w:name w:val="Основной 14+ Знак"/>
    <w:link w:val="14"/>
    <w:rsid w:val="002D04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3">
    <w:name w:val="Font Style13"/>
    <w:uiPriority w:val="99"/>
    <w:rsid w:val="002D04AE"/>
    <w:rPr>
      <w:rFonts w:ascii="Times New Roman" w:hAnsi="Times New Roman" w:cs="Times New Roman"/>
      <w:sz w:val="22"/>
      <w:szCs w:val="22"/>
    </w:rPr>
  </w:style>
  <w:style w:type="paragraph" w:styleId="ae">
    <w:name w:val="Normal (Web)"/>
    <w:basedOn w:val="a"/>
    <w:uiPriority w:val="99"/>
    <w:rsid w:val="002D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2D04A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D04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D04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2D04AE"/>
    <w:rPr>
      <w:color w:val="808080"/>
    </w:rPr>
  </w:style>
  <w:style w:type="character" w:customStyle="1" w:styleId="13">
    <w:name w:val="Стиль1"/>
    <w:basedOn w:val="a0"/>
    <w:uiPriority w:val="1"/>
    <w:rsid w:val="002D04AE"/>
    <w:rPr>
      <w:rFonts w:ascii="Times New Roman" w:hAnsi="Times New Roman"/>
      <w:sz w:val="18"/>
    </w:rPr>
  </w:style>
  <w:style w:type="character" w:customStyle="1" w:styleId="a4">
    <w:name w:val="Абзац списка Знак"/>
    <w:aliases w:val="List Paragraph 1 Знак,NUMBERED PARAGRAPH Знак,Bullets Знак,PAD Знак,References Знак,List_Paragraph Знак,Multilevel para_II Знак,List Paragraph1 Знак,Akapit z listą BS Знак,List Paragraph (numbered (a)) Знак,IBL List Paragraph Знак"/>
    <w:link w:val="a3"/>
    <w:uiPriority w:val="34"/>
    <w:locked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D04AE"/>
  </w:style>
  <w:style w:type="table" w:customStyle="1" w:styleId="15">
    <w:name w:val="Сетка таблицы1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rsid w:val="002D0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2D0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2D04AE"/>
    <w:rPr>
      <w:vertAlign w:val="superscript"/>
    </w:rPr>
  </w:style>
  <w:style w:type="paragraph" w:customStyle="1" w:styleId="ConsPlusTitle">
    <w:name w:val="ConsPlusTitle"/>
    <w:uiPriority w:val="99"/>
    <w:rsid w:val="002D04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eamble">
    <w:name w:val="Preamble"/>
    <w:basedOn w:val="2"/>
    <w:rsid w:val="002D04AE"/>
    <w:pPr>
      <w:spacing w:after="0" w:line="240" w:lineRule="auto"/>
      <w:ind w:right="-57" w:firstLine="709"/>
    </w:pPr>
    <w:rPr>
      <w:sz w:val="3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2D04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2D04A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D0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D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D04A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D0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38">
    <w:name w:val="Font Style38"/>
    <w:rsid w:val="002D04AE"/>
    <w:rPr>
      <w:rFonts w:ascii="Times New Roman" w:hAnsi="Times New Roman" w:cs="Times New Roman"/>
      <w:color w:val="000000"/>
      <w:sz w:val="26"/>
      <w:szCs w:val="26"/>
    </w:rPr>
  </w:style>
  <w:style w:type="table" w:customStyle="1" w:styleId="21">
    <w:name w:val="Сетка таблицы21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D04AE"/>
    <w:rPr>
      <w:color w:val="0000FF"/>
      <w:u w:val="single"/>
    </w:rPr>
  </w:style>
  <w:style w:type="paragraph" w:customStyle="1" w:styleId="16">
    <w:name w:val="Текст1"/>
    <w:basedOn w:val="a"/>
    <w:next w:val="af9"/>
    <w:link w:val="afa"/>
    <w:uiPriority w:val="99"/>
    <w:unhideWhenUsed/>
    <w:rsid w:val="002D04AE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0"/>
    <w:link w:val="16"/>
    <w:uiPriority w:val="99"/>
    <w:rsid w:val="002D04AE"/>
    <w:rPr>
      <w:rFonts w:ascii="Calibri" w:hAnsi="Calibri"/>
      <w:szCs w:val="21"/>
    </w:rPr>
  </w:style>
  <w:style w:type="numbering" w:customStyle="1" w:styleId="111">
    <w:name w:val="Нет списка111"/>
    <w:next w:val="a2"/>
    <w:uiPriority w:val="99"/>
    <w:semiHidden/>
    <w:unhideWhenUsed/>
    <w:rsid w:val="002D04AE"/>
  </w:style>
  <w:style w:type="character" w:styleId="afb">
    <w:name w:val="Strong"/>
    <w:basedOn w:val="a0"/>
    <w:qFormat/>
    <w:rsid w:val="002D04AE"/>
    <w:rPr>
      <w:b/>
      <w:bCs/>
    </w:rPr>
  </w:style>
  <w:style w:type="character" w:styleId="afc">
    <w:name w:val="Emphasis"/>
    <w:basedOn w:val="a0"/>
    <w:qFormat/>
    <w:rsid w:val="002D04AE"/>
    <w:rPr>
      <w:i/>
      <w:iCs/>
    </w:rPr>
  </w:style>
  <w:style w:type="table" w:customStyle="1" w:styleId="22">
    <w:name w:val="Сетка таблицы2"/>
    <w:basedOn w:val="a1"/>
    <w:next w:val="a7"/>
    <w:uiPriority w:val="59"/>
    <w:rsid w:val="002D04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7"/>
    <w:uiPriority w:val="99"/>
    <w:rsid w:val="002D04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99"/>
    <w:rsid w:val="002D04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17"/>
    <w:uiPriority w:val="99"/>
    <w:unhideWhenUsed/>
    <w:rsid w:val="002D04A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7">
    <w:name w:val="Текст Знак1"/>
    <w:basedOn w:val="a0"/>
    <w:link w:val="af9"/>
    <w:uiPriority w:val="99"/>
    <w:rsid w:val="002D04AE"/>
    <w:rPr>
      <w:rFonts w:ascii="Consolas" w:hAnsi="Consolas"/>
      <w:sz w:val="21"/>
      <w:szCs w:val="21"/>
    </w:rPr>
  </w:style>
  <w:style w:type="paragraph" w:styleId="afd">
    <w:name w:val="No Spacing"/>
    <w:link w:val="afe"/>
    <w:uiPriority w:val="1"/>
    <w:qFormat/>
    <w:rsid w:val="002D04AE"/>
    <w:pPr>
      <w:spacing w:after="0" w:line="240" w:lineRule="auto"/>
    </w:pPr>
    <w:rPr>
      <w:rFonts w:eastAsiaTheme="minorEastAsia"/>
      <w:lang w:eastAsia="ru-RU"/>
    </w:rPr>
  </w:style>
  <w:style w:type="character" w:customStyle="1" w:styleId="afe">
    <w:name w:val="Без интервала Знак"/>
    <w:basedOn w:val="a0"/>
    <w:link w:val="afd"/>
    <w:uiPriority w:val="1"/>
    <w:rsid w:val="002D04AE"/>
    <w:rPr>
      <w:rFonts w:eastAsiaTheme="minorEastAsia"/>
      <w:lang w:eastAsia="ru-RU"/>
    </w:rPr>
  </w:style>
  <w:style w:type="paragraph" w:styleId="aff">
    <w:name w:val="Revision"/>
    <w:hidden/>
    <w:uiPriority w:val="99"/>
    <w:semiHidden/>
    <w:rsid w:val="00DB57AC"/>
    <w:pPr>
      <w:spacing w:after="0" w:line="240" w:lineRule="auto"/>
    </w:pPr>
  </w:style>
  <w:style w:type="paragraph" w:styleId="aff0">
    <w:name w:val="endnote text"/>
    <w:basedOn w:val="a"/>
    <w:link w:val="aff1"/>
    <w:uiPriority w:val="99"/>
    <w:semiHidden/>
    <w:unhideWhenUsed/>
    <w:rsid w:val="008B4FF5"/>
    <w:pPr>
      <w:spacing w:after="0" w:line="240" w:lineRule="auto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uiPriority w:val="99"/>
    <w:semiHidden/>
    <w:rsid w:val="008B4FF5"/>
    <w:rPr>
      <w:sz w:val="20"/>
      <w:szCs w:val="20"/>
    </w:rPr>
  </w:style>
  <w:style w:type="character" w:styleId="aff2">
    <w:name w:val="endnote reference"/>
    <w:basedOn w:val="a0"/>
    <w:uiPriority w:val="99"/>
    <w:semiHidden/>
    <w:unhideWhenUsed/>
    <w:rsid w:val="008B4F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E503C-403F-4BF9-8904-73A65D44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Банк развития Республики Беларусь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Кухтик Артем Андреевич</dc:creator>
  <cp:keywords/>
  <dc:description/>
  <cp:lastModifiedBy>Светлана Субботина</cp:lastModifiedBy>
  <cp:revision>9</cp:revision>
  <cp:lastPrinted>2024-07-04T06:12:00Z</cp:lastPrinted>
  <dcterms:created xsi:type="dcterms:W3CDTF">2024-07-04T06:42:00Z</dcterms:created>
  <dcterms:modified xsi:type="dcterms:W3CDTF">2024-07-04T12:56:00Z</dcterms:modified>
</cp:coreProperties>
</file>